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B040" w14:textId="77777777" w:rsidR="007C4664" w:rsidRPr="0019767C" w:rsidRDefault="007C4664" w:rsidP="0019767C">
      <w:pPr>
        <w:pStyle w:val="a3"/>
      </w:pPr>
      <w:r w:rsidRPr="0019767C">
        <w:t xml:space="preserve">Заседание Окружной комиссии по пресечению самовольного строительства на территории Западного административного округа от </w:t>
      </w:r>
      <w:r w:rsidR="00C32EC9" w:rsidRPr="0019767C">
        <w:t>29.05</w:t>
      </w:r>
      <w:r w:rsidR="00F04370" w:rsidRPr="0019767C">
        <w:t>.2025</w:t>
      </w:r>
    </w:p>
    <w:p w14:paraId="4F174CC8" w14:textId="77777777" w:rsidR="007C4664" w:rsidRPr="005D18E7" w:rsidRDefault="007C4664" w:rsidP="00A60B5D">
      <w:pPr>
        <w:widowControl w:val="0"/>
        <w:autoSpaceDE w:val="0"/>
        <w:autoSpaceDN w:val="0"/>
        <w:adjustRightInd w:val="0"/>
        <w:ind w:firstLine="709"/>
        <w:jc w:val="both"/>
        <w:rPr>
          <w:sz w:val="23"/>
          <w:szCs w:val="23"/>
        </w:rPr>
      </w:pPr>
    </w:p>
    <w:p w14:paraId="4BE98413" w14:textId="77777777"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14:paraId="587CAA90" w14:textId="77777777"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14:paraId="41A8321A" w14:textId="77777777" w:rsidR="00A60B5D" w:rsidRPr="005D18E7" w:rsidRDefault="00B4520B" w:rsidP="00A60B5D">
      <w:pPr>
        <w:widowControl w:val="0"/>
        <w:autoSpaceDE w:val="0"/>
        <w:autoSpaceDN w:val="0"/>
        <w:adjustRightInd w:val="0"/>
        <w:ind w:firstLine="709"/>
        <w:jc w:val="both"/>
        <w:rPr>
          <w:sz w:val="23"/>
          <w:szCs w:val="23"/>
        </w:rPr>
      </w:pPr>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 xml:space="preserve">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 в префектуре </w:t>
      </w:r>
      <w:r w:rsidR="00C32EC9">
        <w:rPr>
          <w:b/>
          <w:color w:val="000000"/>
          <w:sz w:val="23"/>
          <w:szCs w:val="23"/>
        </w:rPr>
        <w:t>29.05</w:t>
      </w:r>
      <w:r w:rsidR="00F04370">
        <w:rPr>
          <w:b/>
          <w:color w:val="000000"/>
          <w:sz w:val="23"/>
          <w:szCs w:val="23"/>
        </w:rPr>
        <w:t>.2025</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14:paraId="6C96D67A" w14:textId="77777777"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14:paraId="71AEE7A6" w14:textId="77777777"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14:paraId="5DF9C9B5" w14:textId="77777777"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14:paraId="52BC0F14" w14:textId="77777777"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14:paraId="139B4271" w14:textId="77777777"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14:paraId="4650AA2A" w14:textId="77777777" w:rsidR="00C60B90" w:rsidRPr="00F04370" w:rsidRDefault="00C60B90" w:rsidP="001644A1">
      <w:pPr>
        <w:autoSpaceDE w:val="0"/>
        <w:autoSpaceDN w:val="0"/>
        <w:adjustRightInd w:val="0"/>
        <w:ind w:firstLine="540"/>
        <w:jc w:val="both"/>
        <w:rPr>
          <w:sz w:val="24"/>
          <w:szCs w:val="24"/>
        </w:rPr>
      </w:pPr>
      <w:r w:rsidRPr="00F04370">
        <w:rPr>
          <w:sz w:val="24"/>
          <w:szCs w:val="24"/>
        </w:rPr>
        <w:t>- ул. Никулинская, вл. 11Г (участок № 2);</w:t>
      </w:r>
    </w:p>
    <w:p w14:paraId="1F9CE12E" w14:textId="77777777" w:rsidR="00C60B90" w:rsidRPr="00F04370" w:rsidRDefault="00C60B90" w:rsidP="001644A1">
      <w:pPr>
        <w:autoSpaceDE w:val="0"/>
        <w:autoSpaceDN w:val="0"/>
        <w:adjustRightInd w:val="0"/>
        <w:ind w:firstLine="540"/>
        <w:jc w:val="both"/>
        <w:rPr>
          <w:sz w:val="24"/>
          <w:szCs w:val="24"/>
        </w:rPr>
      </w:pPr>
      <w:r w:rsidRPr="00F04370">
        <w:rPr>
          <w:sz w:val="24"/>
          <w:szCs w:val="24"/>
        </w:rPr>
        <w:t>- ул. Рябиновая (кадастровый номер 77:07:0012006:68)</w:t>
      </w:r>
      <w:r w:rsidR="004D5B74" w:rsidRPr="00F04370">
        <w:rPr>
          <w:sz w:val="24"/>
          <w:szCs w:val="24"/>
        </w:rPr>
        <w:t>.</w:t>
      </w:r>
    </w:p>
    <w:p w14:paraId="607765F8" w14:textId="77777777" w:rsidR="00F04370" w:rsidRPr="00F04370" w:rsidRDefault="00F04370" w:rsidP="001644A1">
      <w:pPr>
        <w:autoSpaceDE w:val="0"/>
        <w:autoSpaceDN w:val="0"/>
        <w:adjustRightInd w:val="0"/>
        <w:ind w:firstLine="540"/>
        <w:jc w:val="both"/>
        <w:rPr>
          <w:sz w:val="24"/>
          <w:szCs w:val="24"/>
        </w:rPr>
      </w:pPr>
      <w:r w:rsidRPr="00F04370">
        <w:rPr>
          <w:sz w:val="24"/>
          <w:szCs w:val="24"/>
        </w:rPr>
        <w:t>- Заводское шоссе, рядом с вл. 10</w:t>
      </w:r>
      <w:r>
        <w:rPr>
          <w:sz w:val="24"/>
          <w:szCs w:val="24"/>
        </w:rPr>
        <w:t>.</w:t>
      </w:r>
    </w:p>
    <w:p w14:paraId="5F8FC724" w14:textId="77777777"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14:paraId="29D78712" w14:textId="77777777" w:rsidR="001644A1" w:rsidRPr="005D18E7" w:rsidRDefault="001644A1" w:rsidP="001644A1">
      <w:pPr>
        <w:autoSpaceDE w:val="0"/>
        <w:autoSpaceDN w:val="0"/>
        <w:adjustRightInd w:val="0"/>
        <w:ind w:firstLine="540"/>
        <w:jc w:val="both"/>
        <w:rPr>
          <w:sz w:val="23"/>
          <w:szCs w:val="23"/>
        </w:rPr>
      </w:pPr>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14:paraId="4C6592F5" w14:textId="77777777"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14:paraId="6FC39D8A" w14:textId="77777777" w:rsidR="005D18E7" w:rsidRDefault="005D18E7" w:rsidP="00573F75">
      <w:pPr>
        <w:autoSpaceDE w:val="0"/>
        <w:autoSpaceDN w:val="0"/>
        <w:adjustRightInd w:val="0"/>
        <w:spacing w:line="240" w:lineRule="atLeast"/>
        <w:ind w:firstLine="426"/>
        <w:jc w:val="center"/>
        <w:rPr>
          <w:b/>
          <w:sz w:val="23"/>
          <w:szCs w:val="23"/>
        </w:rPr>
      </w:pPr>
    </w:p>
    <w:p w14:paraId="3E7F9D7C" w14:textId="77777777" w:rsidR="005D18E7" w:rsidRDefault="005D18E7" w:rsidP="00573F75">
      <w:pPr>
        <w:autoSpaceDE w:val="0"/>
        <w:autoSpaceDN w:val="0"/>
        <w:adjustRightInd w:val="0"/>
        <w:spacing w:line="240" w:lineRule="atLeast"/>
        <w:ind w:firstLine="426"/>
        <w:jc w:val="center"/>
        <w:rPr>
          <w:b/>
          <w:sz w:val="23"/>
          <w:szCs w:val="23"/>
        </w:rPr>
      </w:pPr>
    </w:p>
    <w:p w14:paraId="40C97CAE" w14:textId="77777777" w:rsidR="005D18E7" w:rsidRDefault="005D18E7" w:rsidP="00573F75">
      <w:pPr>
        <w:autoSpaceDE w:val="0"/>
        <w:autoSpaceDN w:val="0"/>
        <w:adjustRightInd w:val="0"/>
        <w:spacing w:line="240" w:lineRule="atLeast"/>
        <w:ind w:firstLine="426"/>
        <w:jc w:val="center"/>
        <w:rPr>
          <w:b/>
          <w:sz w:val="23"/>
          <w:szCs w:val="23"/>
        </w:rPr>
      </w:pPr>
    </w:p>
    <w:p w14:paraId="0CC108DD" w14:textId="77777777" w:rsidR="005D18E7" w:rsidRDefault="005D18E7" w:rsidP="00573F75">
      <w:pPr>
        <w:autoSpaceDE w:val="0"/>
        <w:autoSpaceDN w:val="0"/>
        <w:adjustRightInd w:val="0"/>
        <w:spacing w:line="240" w:lineRule="atLeast"/>
        <w:ind w:firstLine="426"/>
        <w:jc w:val="center"/>
        <w:rPr>
          <w:b/>
          <w:sz w:val="23"/>
          <w:szCs w:val="23"/>
        </w:rPr>
      </w:pPr>
    </w:p>
    <w:p w14:paraId="647DBE1B" w14:textId="77777777" w:rsidR="005D18E7" w:rsidRDefault="005D18E7" w:rsidP="00573F75">
      <w:pPr>
        <w:autoSpaceDE w:val="0"/>
        <w:autoSpaceDN w:val="0"/>
        <w:adjustRightInd w:val="0"/>
        <w:spacing w:line="240" w:lineRule="atLeast"/>
        <w:ind w:firstLine="426"/>
        <w:jc w:val="center"/>
        <w:rPr>
          <w:b/>
          <w:sz w:val="23"/>
          <w:szCs w:val="23"/>
        </w:rPr>
      </w:pPr>
    </w:p>
    <w:p w14:paraId="46F2F803" w14:textId="77777777"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14:paraId="72215BA3" w14:textId="77777777"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14:paraId="04C5602C" w14:textId="77777777"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C32EC9">
        <w:rPr>
          <w:b/>
          <w:sz w:val="23"/>
          <w:szCs w:val="23"/>
          <w:u w:val="single"/>
        </w:rPr>
        <w:t>29.05</w:t>
      </w:r>
      <w:r w:rsidR="00427B09">
        <w:rPr>
          <w:b/>
          <w:sz w:val="23"/>
          <w:szCs w:val="23"/>
          <w:u w:val="single"/>
        </w:rPr>
        <w:t>.2025</w:t>
      </w:r>
      <w:r w:rsidRPr="005D18E7">
        <w:rPr>
          <w:b/>
          <w:sz w:val="23"/>
          <w:szCs w:val="23"/>
          <w:u w:val="single"/>
        </w:rPr>
        <w:t xml:space="preserve"> № </w:t>
      </w:r>
      <w:r w:rsidR="00C32EC9">
        <w:rPr>
          <w:b/>
          <w:sz w:val="23"/>
          <w:szCs w:val="23"/>
          <w:u w:val="single"/>
        </w:rPr>
        <w:t>4</w:t>
      </w:r>
      <w:r w:rsidRPr="005D18E7">
        <w:rPr>
          <w:b/>
          <w:sz w:val="23"/>
          <w:szCs w:val="23"/>
          <w:u w:val="single"/>
        </w:rPr>
        <w:t>):</w:t>
      </w:r>
    </w:p>
    <w:p w14:paraId="23073773" w14:textId="77777777" w:rsidR="0020356F" w:rsidRDefault="0020356F" w:rsidP="0020356F">
      <w:pPr>
        <w:jc w:val="both"/>
        <w:rPr>
          <w:b/>
          <w:sz w:val="24"/>
          <w:szCs w:val="24"/>
        </w:rPr>
      </w:pPr>
    </w:p>
    <w:p w14:paraId="66E70AD8" w14:textId="77777777" w:rsidR="00C32EC9" w:rsidRDefault="00C32EC9" w:rsidP="00C32EC9">
      <w:pPr>
        <w:jc w:val="both"/>
        <w:rPr>
          <w:sz w:val="24"/>
          <w:szCs w:val="24"/>
        </w:rPr>
      </w:pPr>
      <w:r>
        <w:rPr>
          <w:b/>
          <w:sz w:val="24"/>
          <w:szCs w:val="24"/>
        </w:rPr>
        <w:t>1.  ул. Бобруйская, вл. 13 (Кунцево)</w:t>
      </w:r>
      <w:r>
        <w:rPr>
          <w:sz w:val="24"/>
          <w:szCs w:val="24"/>
        </w:rPr>
        <w:t xml:space="preserve"> строения и навесы на территории ГСК 13 «Чапаевский»</w:t>
      </w:r>
    </w:p>
    <w:p w14:paraId="4897F907" w14:textId="77777777" w:rsidR="00C32EC9" w:rsidRDefault="00C32EC9" w:rsidP="00C32EC9">
      <w:pPr>
        <w:jc w:val="both"/>
        <w:rPr>
          <w:rFonts w:eastAsia="Calibri"/>
          <w:sz w:val="24"/>
          <w:szCs w:val="24"/>
        </w:rPr>
      </w:pPr>
      <w:r>
        <w:rPr>
          <w:b/>
          <w:sz w:val="24"/>
          <w:szCs w:val="24"/>
        </w:rPr>
        <w:t xml:space="preserve">2.  </w:t>
      </w:r>
      <w:r>
        <w:rPr>
          <w:rFonts w:eastAsia="Calibri"/>
          <w:b/>
          <w:sz w:val="24"/>
          <w:szCs w:val="24"/>
        </w:rPr>
        <w:t xml:space="preserve">ул. Ярцевская, вл. 36, корп. 1 (Кунцево) </w:t>
      </w:r>
      <w:r>
        <w:rPr>
          <w:rFonts w:eastAsia="Calibri"/>
          <w:sz w:val="24"/>
          <w:szCs w:val="24"/>
        </w:rPr>
        <w:t>металлический контейнер, будка</w:t>
      </w:r>
    </w:p>
    <w:p w14:paraId="0939655A" w14:textId="77777777" w:rsidR="00C32EC9" w:rsidRDefault="00C32EC9" w:rsidP="00C32EC9">
      <w:pPr>
        <w:jc w:val="both"/>
        <w:rPr>
          <w:rFonts w:eastAsia="Calibri"/>
          <w:sz w:val="24"/>
          <w:szCs w:val="24"/>
        </w:rPr>
      </w:pPr>
      <w:r>
        <w:rPr>
          <w:b/>
          <w:sz w:val="24"/>
          <w:szCs w:val="24"/>
        </w:rPr>
        <w:t xml:space="preserve">3.   </w:t>
      </w:r>
      <w:r>
        <w:rPr>
          <w:rFonts w:eastAsia="Calibri"/>
          <w:b/>
          <w:sz w:val="24"/>
          <w:szCs w:val="24"/>
        </w:rPr>
        <w:t>ул. Ивана Франко, вл. 26 (</w:t>
      </w:r>
      <w:proofErr w:type="gramStart"/>
      <w:r>
        <w:rPr>
          <w:rFonts w:eastAsia="Calibri"/>
          <w:b/>
          <w:sz w:val="24"/>
          <w:szCs w:val="24"/>
        </w:rPr>
        <w:t xml:space="preserve">Кунцево) </w:t>
      </w:r>
      <w:r>
        <w:rPr>
          <w:rFonts w:eastAsia="Calibri"/>
          <w:sz w:val="24"/>
          <w:szCs w:val="24"/>
        </w:rPr>
        <w:t xml:space="preserve"> бытовки</w:t>
      </w:r>
      <w:proofErr w:type="gramEnd"/>
      <w:r>
        <w:rPr>
          <w:rFonts w:eastAsia="Calibri"/>
          <w:sz w:val="24"/>
          <w:szCs w:val="24"/>
        </w:rPr>
        <w:t xml:space="preserve"> (8 </w:t>
      </w:r>
      <w:proofErr w:type="spellStart"/>
      <w:r>
        <w:rPr>
          <w:rFonts w:eastAsia="Calibri"/>
          <w:sz w:val="24"/>
          <w:szCs w:val="24"/>
        </w:rPr>
        <w:t>шт</w:t>
      </w:r>
      <w:proofErr w:type="spellEnd"/>
      <w:r>
        <w:rPr>
          <w:rFonts w:eastAsia="Calibri"/>
          <w:sz w:val="24"/>
          <w:szCs w:val="24"/>
        </w:rPr>
        <w:t xml:space="preserve">), ограждение </w:t>
      </w:r>
    </w:p>
    <w:p w14:paraId="79F1DF12" w14:textId="77777777" w:rsidR="00C32EC9" w:rsidRDefault="00C32EC9" w:rsidP="00C32EC9">
      <w:pPr>
        <w:jc w:val="both"/>
        <w:rPr>
          <w:sz w:val="24"/>
          <w:szCs w:val="24"/>
        </w:rPr>
      </w:pPr>
      <w:r>
        <w:rPr>
          <w:b/>
          <w:sz w:val="24"/>
          <w:szCs w:val="24"/>
        </w:rPr>
        <w:t xml:space="preserve">4. ул. Родниковая, вл. 7 (Солнцево) </w:t>
      </w:r>
      <w:r>
        <w:rPr>
          <w:sz w:val="24"/>
          <w:szCs w:val="24"/>
        </w:rPr>
        <w:t xml:space="preserve">бытовки (2 </w:t>
      </w:r>
      <w:proofErr w:type="spellStart"/>
      <w:r>
        <w:rPr>
          <w:sz w:val="24"/>
          <w:szCs w:val="24"/>
        </w:rPr>
        <w:t>шт</w:t>
      </w:r>
      <w:proofErr w:type="spellEnd"/>
      <w:r>
        <w:rPr>
          <w:sz w:val="24"/>
          <w:szCs w:val="24"/>
        </w:rPr>
        <w:t>)</w:t>
      </w:r>
    </w:p>
    <w:p w14:paraId="4F07AA47" w14:textId="77777777" w:rsidR="00C32EC9" w:rsidRDefault="00C32EC9" w:rsidP="00C32EC9">
      <w:pPr>
        <w:jc w:val="both"/>
        <w:rPr>
          <w:b/>
          <w:sz w:val="24"/>
          <w:szCs w:val="24"/>
        </w:rPr>
      </w:pPr>
      <w:r>
        <w:rPr>
          <w:b/>
          <w:sz w:val="24"/>
          <w:szCs w:val="24"/>
        </w:rPr>
        <w:t xml:space="preserve">5. проспект Вернадского, вл. 105, корп. 1 (Тропарево-Никулино) </w:t>
      </w:r>
      <w:r>
        <w:rPr>
          <w:sz w:val="24"/>
          <w:szCs w:val="24"/>
        </w:rPr>
        <w:t>биотуалет</w:t>
      </w:r>
    </w:p>
    <w:p w14:paraId="741C3FA1" w14:textId="77777777" w:rsidR="00C32EC9" w:rsidRDefault="00C32EC9" w:rsidP="00C32EC9">
      <w:pPr>
        <w:jc w:val="both"/>
        <w:rPr>
          <w:sz w:val="24"/>
          <w:szCs w:val="24"/>
        </w:rPr>
      </w:pPr>
      <w:r>
        <w:rPr>
          <w:b/>
          <w:sz w:val="24"/>
          <w:szCs w:val="24"/>
        </w:rPr>
        <w:t xml:space="preserve">6. ул. Академика Анохина, вл. 2 (Тропарево-Никулино) </w:t>
      </w:r>
      <w:r>
        <w:rPr>
          <w:sz w:val="24"/>
          <w:szCs w:val="24"/>
        </w:rPr>
        <w:t>бытовка, МАФ</w:t>
      </w:r>
    </w:p>
    <w:p w14:paraId="7AC1FB85" w14:textId="77777777" w:rsidR="00C32EC9" w:rsidRDefault="00C32EC9" w:rsidP="00C32EC9">
      <w:pPr>
        <w:jc w:val="both"/>
        <w:rPr>
          <w:sz w:val="24"/>
          <w:szCs w:val="24"/>
        </w:rPr>
      </w:pPr>
      <w:r>
        <w:rPr>
          <w:b/>
          <w:sz w:val="24"/>
          <w:szCs w:val="24"/>
        </w:rPr>
        <w:t xml:space="preserve">7.  Багратионовский проезд, вл. 14 (Филевский парк) </w:t>
      </w:r>
      <w:r>
        <w:rPr>
          <w:sz w:val="24"/>
          <w:szCs w:val="24"/>
        </w:rPr>
        <w:t xml:space="preserve">строение, используемое под </w:t>
      </w:r>
      <w:proofErr w:type="spellStart"/>
      <w:proofErr w:type="gramStart"/>
      <w:r>
        <w:rPr>
          <w:sz w:val="24"/>
          <w:szCs w:val="24"/>
        </w:rPr>
        <w:t>хоз.нужды</w:t>
      </w:r>
      <w:proofErr w:type="spellEnd"/>
      <w:proofErr w:type="gramEnd"/>
      <w:r>
        <w:rPr>
          <w:sz w:val="24"/>
          <w:szCs w:val="24"/>
        </w:rPr>
        <w:t xml:space="preserve"> на территории ГПК «Валдай-2000»</w:t>
      </w:r>
    </w:p>
    <w:p w14:paraId="7EDB1D37" w14:textId="77777777" w:rsidR="00C32EC9" w:rsidRDefault="00C32EC9" w:rsidP="00C32EC9">
      <w:pPr>
        <w:jc w:val="both"/>
        <w:rPr>
          <w:sz w:val="24"/>
          <w:szCs w:val="24"/>
        </w:rPr>
      </w:pPr>
      <w:r>
        <w:rPr>
          <w:b/>
          <w:sz w:val="24"/>
          <w:szCs w:val="24"/>
        </w:rPr>
        <w:t xml:space="preserve">8. ул. Артамонова, вл. 6, корп. 3 (Фили-Давыдково) </w:t>
      </w:r>
      <w:r>
        <w:rPr>
          <w:sz w:val="24"/>
          <w:szCs w:val="24"/>
        </w:rPr>
        <w:t>ограждение с бетонными столбами, навес</w:t>
      </w:r>
    </w:p>
    <w:p w14:paraId="36FCC995" w14:textId="77777777" w:rsidR="00427B09" w:rsidRDefault="00427B09" w:rsidP="0020356F">
      <w:pPr>
        <w:jc w:val="both"/>
        <w:rPr>
          <w:b/>
          <w:sz w:val="24"/>
          <w:szCs w:val="24"/>
        </w:rPr>
      </w:pPr>
    </w:p>
    <w:sectPr w:rsidR="00427B09" w:rsidSect="00CA588F">
      <w:pgSz w:w="11906" w:h="16838"/>
      <w:pgMar w:top="1276" w:right="707"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581"/>
    <w:rsid w:val="000150D1"/>
    <w:rsid w:val="0002624F"/>
    <w:rsid w:val="00033DF1"/>
    <w:rsid w:val="00051581"/>
    <w:rsid w:val="00076D26"/>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67C"/>
    <w:rsid w:val="00197AEF"/>
    <w:rsid w:val="001D3F55"/>
    <w:rsid w:val="001D6564"/>
    <w:rsid w:val="001E319F"/>
    <w:rsid w:val="001F2960"/>
    <w:rsid w:val="0020356F"/>
    <w:rsid w:val="00204F73"/>
    <w:rsid w:val="00255DE6"/>
    <w:rsid w:val="002562BE"/>
    <w:rsid w:val="00276D34"/>
    <w:rsid w:val="002A7E23"/>
    <w:rsid w:val="002B3211"/>
    <w:rsid w:val="002B399D"/>
    <w:rsid w:val="002D2E7D"/>
    <w:rsid w:val="0031118F"/>
    <w:rsid w:val="00312575"/>
    <w:rsid w:val="00321A7D"/>
    <w:rsid w:val="00324B8B"/>
    <w:rsid w:val="00344812"/>
    <w:rsid w:val="00351C97"/>
    <w:rsid w:val="003A7377"/>
    <w:rsid w:val="003B6143"/>
    <w:rsid w:val="003B793E"/>
    <w:rsid w:val="003C3AF9"/>
    <w:rsid w:val="003D4E2F"/>
    <w:rsid w:val="003E2BF7"/>
    <w:rsid w:val="00401421"/>
    <w:rsid w:val="0040455C"/>
    <w:rsid w:val="00422E38"/>
    <w:rsid w:val="004273D7"/>
    <w:rsid w:val="00427B09"/>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65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01A35"/>
    <w:rsid w:val="00814D3B"/>
    <w:rsid w:val="008346DB"/>
    <w:rsid w:val="008421D6"/>
    <w:rsid w:val="00846821"/>
    <w:rsid w:val="0085754A"/>
    <w:rsid w:val="00863E6C"/>
    <w:rsid w:val="008747D3"/>
    <w:rsid w:val="00877A6F"/>
    <w:rsid w:val="008B0709"/>
    <w:rsid w:val="008C5030"/>
    <w:rsid w:val="008C722E"/>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0EDD"/>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56A7"/>
    <w:rsid w:val="00B60D55"/>
    <w:rsid w:val="00B651B0"/>
    <w:rsid w:val="00B67164"/>
    <w:rsid w:val="00B87D3F"/>
    <w:rsid w:val="00B920F9"/>
    <w:rsid w:val="00B92E7C"/>
    <w:rsid w:val="00B96933"/>
    <w:rsid w:val="00BB3E73"/>
    <w:rsid w:val="00BB68A3"/>
    <w:rsid w:val="00BC5CED"/>
    <w:rsid w:val="00BE5E8E"/>
    <w:rsid w:val="00BE683F"/>
    <w:rsid w:val="00BF25BE"/>
    <w:rsid w:val="00C2200E"/>
    <w:rsid w:val="00C32EC9"/>
    <w:rsid w:val="00C33F8A"/>
    <w:rsid w:val="00C44F6F"/>
    <w:rsid w:val="00C50382"/>
    <w:rsid w:val="00C60B90"/>
    <w:rsid w:val="00C63EF9"/>
    <w:rsid w:val="00C72A47"/>
    <w:rsid w:val="00C760F0"/>
    <w:rsid w:val="00C7728F"/>
    <w:rsid w:val="00C872C2"/>
    <w:rsid w:val="00C93BCF"/>
    <w:rsid w:val="00CA588F"/>
    <w:rsid w:val="00CC5C15"/>
    <w:rsid w:val="00CD287E"/>
    <w:rsid w:val="00CD5826"/>
    <w:rsid w:val="00CF0ABA"/>
    <w:rsid w:val="00CF6F8D"/>
    <w:rsid w:val="00D152F1"/>
    <w:rsid w:val="00D17A53"/>
    <w:rsid w:val="00D225AA"/>
    <w:rsid w:val="00D34F47"/>
    <w:rsid w:val="00D36CD5"/>
    <w:rsid w:val="00D453AB"/>
    <w:rsid w:val="00D52996"/>
    <w:rsid w:val="00D6513B"/>
    <w:rsid w:val="00D73F63"/>
    <w:rsid w:val="00DD3307"/>
    <w:rsid w:val="00DD59DF"/>
    <w:rsid w:val="00DE3E22"/>
    <w:rsid w:val="00DE7E7A"/>
    <w:rsid w:val="00E23EB9"/>
    <w:rsid w:val="00E24BDF"/>
    <w:rsid w:val="00E3482A"/>
    <w:rsid w:val="00E40061"/>
    <w:rsid w:val="00E85066"/>
    <w:rsid w:val="00E9019A"/>
    <w:rsid w:val="00EA3008"/>
    <w:rsid w:val="00EB586C"/>
    <w:rsid w:val="00EB7E14"/>
    <w:rsid w:val="00EC05CC"/>
    <w:rsid w:val="00ED2018"/>
    <w:rsid w:val="00EF1EB2"/>
    <w:rsid w:val="00F04370"/>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1127"/>
  <w15:docId w15:val="{397ED7D9-1CD2-449F-AEF4-4A420C2E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7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49574342">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706</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siriusinblack@yandex.ru</cp:lastModifiedBy>
  <cp:revision>184</cp:revision>
  <cp:lastPrinted>2025-02-11T08:21:00Z</cp:lastPrinted>
  <dcterms:created xsi:type="dcterms:W3CDTF">2015-02-02T08:51:00Z</dcterms:created>
  <dcterms:modified xsi:type="dcterms:W3CDTF">2025-05-30T10:14:00Z</dcterms:modified>
</cp:coreProperties>
</file>